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47DC" w:rsidRPr="00125CC8" w:rsidRDefault="003247DC" w:rsidP="003247DC">
      <w:pPr>
        <w:spacing w:after="240" w:line="200" w:lineRule="atLeast"/>
        <w:rPr>
          <w:b/>
          <w:sz w:val="28"/>
          <w:szCs w:val="28"/>
          <w:lang w:val="en-US"/>
        </w:rPr>
      </w:pPr>
      <w:r w:rsidRPr="00125CC8">
        <w:rPr>
          <w:b/>
          <w:sz w:val="28"/>
          <w:szCs w:val="28"/>
          <w:lang w:val="en-US"/>
        </w:rPr>
        <w:t>“</w:t>
      </w:r>
      <w:proofErr w:type="spellStart"/>
      <w:r w:rsidRPr="00125CC8">
        <w:rPr>
          <w:b/>
          <w:sz w:val="28"/>
          <w:szCs w:val="28"/>
          <w:lang w:val="en-US"/>
        </w:rPr>
        <w:t>Mobilair</w:t>
      </w:r>
      <w:proofErr w:type="spellEnd"/>
      <w:r w:rsidRPr="00125CC8">
        <w:rPr>
          <w:b/>
          <w:sz w:val="28"/>
          <w:szCs w:val="28"/>
          <w:lang w:val="en-US"/>
        </w:rPr>
        <w:t xml:space="preserve"> 20” portable compressor with PE enclosure </w:t>
      </w:r>
    </w:p>
    <w:p w:rsidR="003247DC" w:rsidRPr="00125CC8" w:rsidRDefault="003247DC" w:rsidP="003247DC">
      <w:pPr>
        <w:spacing w:after="240" w:line="200" w:lineRule="atLeast"/>
        <w:rPr>
          <w:b/>
          <w:sz w:val="52"/>
          <w:szCs w:val="52"/>
          <w:lang w:val="en-US"/>
        </w:rPr>
      </w:pPr>
      <w:r w:rsidRPr="00125CC8">
        <w:rPr>
          <w:b/>
          <w:sz w:val="52"/>
          <w:szCs w:val="52"/>
          <w:lang w:val="en-US"/>
        </w:rPr>
        <w:t>Power, Performance and Durability</w:t>
      </w:r>
    </w:p>
    <w:p w:rsidR="003247DC" w:rsidRPr="00125CC8" w:rsidRDefault="003247DC" w:rsidP="003247DC">
      <w:pPr>
        <w:spacing w:after="240" w:line="200" w:lineRule="atLeast"/>
        <w:rPr>
          <w:b/>
          <w:szCs w:val="24"/>
          <w:lang w:val="en-US"/>
        </w:rPr>
      </w:pPr>
      <w:r w:rsidRPr="00125CC8">
        <w:rPr>
          <w:b/>
          <w:bCs/>
          <w:szCs w:val="24"/>
          <w:lang w:val="en-US"/>
        </w:rPr>
        <w:t xml:space="preserve">With its PE enclosure, the </w:t>
      </w:r>
      <w:proofErr w:type="spellStart"/>
      <w:r w:rsidRPr="00125CC8">
        <w:rPr>
          <w:b/>
          <w:bCs/>
          <w:szCs w:val="24"/>
          <w:lang w:val="en-US"/>
        </w:rPr>
        <w:t>Mobilair</w:t>
      </w:r>
      <w:proofErr w:type="spellEnd"/>
      <w:r w:rsidRPr="00125CC8">
        <w:rPr>
          <w:b/>
          <w:bCs/>
          <w:szCs w:val="24"/>
          <w:lang w:val="en-US"/>
        </w:rPr>
        <w:t xml:space="preserve"> 20 really stands out from the rest of the portable compressor crowd – and not just because of its trademark yellow </w:t>
      </w:r>
      <w:proofErr w:type="spellStart"/>
      <w:r w:rsidRPr="00125CC8">
        <w:rPr>
          <w:b/>
          <w:bCs/>
          <w:szCs w:val="24"/>
          <w:lang w:val="en-US"/>
        </w:rPr>
        <w:t>colour</w:t>
      </w:r>
      <w:proofErr w:type="spellEnd"/>
      <w:r w:rsidRPr="00125CC8">
        <w:rPr>
          <w:b/>
          <w:bCs/>
          <w:szCs w:val="24"/>
          <w:lang w:val="en-US"/>
        </w:rPr>
        <w:t xml:space="preserve">. Proving that impressive performance doesn’t have to come from big, bulky machines, this versatile and eye-catching 2 m³ class compressor has more than enough power to drive a </w:t>
      </w:r>
      <w:proofErr w:type="gramStart"/>
      <w:r w:rsidRPr="00125CC8">
        <w:rPr>
          <w:b/>
          <w:bCs/>
          <w:szCs w:val="24"/>
          <w:lang w:val="en-US"/>
        </w:rPr>
        <w:t>heavy duty</w:t>
      </w:r>
      <w:proofErr w:type="gramEnd"/>
      <w:r w:rsidRPr="00125CC8">
        <w:rPr>
          <w:b/>
          <w:bCs/>
          <w:szCs w:val="24"/>
          <w:lang w:val="en-US"/>
        </w:rPr>
        <w:t xml:space="preserve"> breaker, yet is also exceptionally quiet and fuel efficient. </w:t>
      </w:r>
    </w:p>
    <w:p w:rsidR="003247DC" w:rsidRPr="00125CC8" w:rsidRDefault="003247DC" w:rsidP="003247DC">
      <w:pPr>
        <w:spacing w:after="240" w:line="200" w:lineRule="atLeast"/>
        <w:rPr>
          <w:lang w:val="en-US"/>
        </w:rPr>
      </w:pPr>
      <w:r w:rsidRPr="00125CC8">
        <w:rPr>
          <w:lang w:val="en-US"/>
        </w:rPr>
        <w:t>One of the first things that strikes you when looking at the ‘</w:t>
      </w:r>
      <w:proofErr w:type="spellStart"/>
      <w:r w:rsidRPr="00125CC8">
        <w:rPr>
          <w:lang w:val="en-US"/>
        </w:rPr>
        <w:t>Mobilair</w:t>
      </w:r>
      <w:proofErr w:type="spellEnd"/>
      <w:r w:rsidRPr="00125CC8">
        <w:rPr>
          <w:lang w:val="en-US"/>
        </w:rPr>
        <w:t xml:space="preserve"> </w:t>
      </w:r>
      <w:proofErr w:type="gramStart"/>
      <w:r w:rsidRPr="00125CC8">
        <w:rPr>
          <w:lang w:val="en-US"/>
        </w:rPr>
        <w:t>20‘ is</w:t>
      </w:r>
      <w:proofErr w:type="gramEnd"/>
      <w:r w:rsidRPr="00125CC8">
        <w:rPr>
          <w:lang w:val="en-US"/>
        </w:rPr>
        <w:t xml:space="preserve"> its sleek design: Ensuring long-term value retention, the corrosion- and scratch-resistant polyethylene enclosure with its integrated wheelhouses creates the unit’s dynamic look and discretely hides what lies beneath: impressive performance, energy efficiency and user- / environmentally-friendly operation.</w:t>
      </w:r>
    </w:p>
    <w:p w:rsidR="003247DC" w:rsidRPr="00125CC8" w:rsidRDefault="003247DC" w:rsidP="003247DC">
      <w:pPr>
        <w:spacing w:after="240" w:line="200" w:lineRule="atLeast"/>
        <w:rPr>
          <w:lang w:val="en-US"/>
        </w:rPr>
      </w:pPr>
      <w:r w:rsidRPr="00125CC8">
        <w:rPr>
          <w:lang w:val="en-US"/>
        </w:rPr>
        <w:t xml:space="preserve">From the </w:t>
      </w:r>
      <w:proofErr w:type="spellStart"/>
      <w:proofErr w:type="gramStart"/>
      <w:r w:rsidRPr="00125CC8">
        <w:rPr>
          <w:lang w:val="en-US"/>
        </w:rPr>
        <w:t>all important</w:t>
      </w:r>
      <w:proofErr w:type="spellEnd"/>
      <w:proofErr w:type="gramEnd"/>
      <w:r w:rsidRPr="00125CC8">
        <w:rPr>
          <w:lang w:val="en-US"/>
        </w:rPr>
        <w:t xml:space="preserve"> performance perspective, the ‘</w:t>
      </w:r>
      <w:proofErr w:type="spellStart"/>
      <w:r w:rsidRPr="00125CC8">
        <w:rPr>
          <w:lang w:val="en-US"/>
        </w:rPr>
        <w:t>Mobilair</w:t>
      </w:r>
      <w:proofErr w:type="spellEnd"/>
      <w:r w:rsidRPr="00125CC8">
        <w:rPr>
          <w:lang w:val="en-US"/>
        </w:rPr>
        <w:t xml:space="preserve"> 20’ features an efficient Kubota 3-cylinder water-cooled diesel engine that ensures super-quiet operation. Furthermore, the M 20’s </w:t>
      </w:r>
      <w:proofErr w:type="spellStart"/>
      <w:r w:rsidRPr="00125CC8">
        <w:rPr>
          <w:lang w:val="en-US"/>
        </w:rPr>
        <w:t>airend</w:t>
      </w:r>
      <w:proofErr w:type="spellEnd"/>
      <w:r w:rsidRPr="00125CC8">
        <w:rPr>
          <w:lang w:val="en-US"/>
        </w:rPr>
        <w:t xml:space="preserve"> is coupled to the engine via </w:t>
      </w:r>
      <w:proofErr w:type="spellStart"/>
      <w:r w:rsidRPr="00125CC8">
        <w:rPr>
          <w:lang w:val="en-US"/>
        </w:rPr>
        <w:t>Kaeser’s</w:t>
      </w:r>
      <w:proofErr w:type="spellEnd"/>
      <w:r w:rsidRPr="00125CC8">
        <w:rPr>
          <w:lang w:val="en-US"/>
        </w:rPr>
        <w:t xml:space="preserve"> 1:1 direct drive system, which provides more compressed air for less fuel consumption, making this compact compressor exceptionally economical. With a flow-</w:t>
      </w:r>
      <w:proofErr w:type="spellStart"/>
      <w:r w:rsidRPr="00125CC8">
        <w:rPr>
          <w:lang w:val="en-US"/>
        </w:rPr>
        <w:t>optimised</w:t>
      </w:r>
      <w:proofErr w:type="spellEnd"/>
      <w:r w:rsidRPr="00125CC8">
        <w:rPr>
          <w:lang w:val="en-US"/>
        </w:rPr>
        <w:t xml:space="preserve"> ‘Sigma Profile’ </w:t>
      </w:r>
      <w:proofErr w:type="spellStart"/>
      <w:r w:rsidRPr="00125CC8">
        <w:rPr>
          <w:lang w:val="en-US"/>
        </w:rPr>
        <w:t>airend</w:t>
      </w:r>
      <w:proofErr w:type="spellEnd"/>
      <w:r w:rsidRPr="00125CC8">
        <w:rPr>
          <w:lang w:val="en-US"/>
        </w:rPr>
        <w:t xml:space="preserve"> designed to run continuously under load, the ‘M 20’ has a free air delivery of 2 m³/min at 7 bar and is more than capable of powering a heavy-duty breaker. Surprisingly however, the ‘M 20’ has a low operational weight of less than 460 kg, and is therefore incredibly simple to </w:t>
      </w:r>
      <w:proofErr w:type="spellStart"/>
      <w:r w:rsidRPr="00125CC8">
        <w:rPr>
          <w:lang w:val="en-US"/>
        </w:rPr>
        <w:t>manoeuvre</w:t>
      </w:r>
      <w:proofErr w:type="spellEnd"/>
      <w:r w:rsidRPr="00125CC8">
        <w:rPr>
          <w:lang w:val="en-US"/>
        </w:rPr>
        <w:t xml:space="preserve"> and transport.</w:t>
      </w:r>
    </w:p>
    <w:p w:rsidR="003247DC" w:rsidRPr="00125CC8" w:rsidRDefault="003247DC" w:rsidP="003247DC">
      <w:pPr>
        <w:spacing w:after="240" w:line="200" w:lineRule="atLeast"/>
        <w:rPr>
          <w:lang w:val="en-US"/>
        </w:rPr>
      </w:pPr>
      <w:r w:rsidRPr="00125CC8">
        <w:rPr>
          <w:lang w:val="en-US"/>
        </w:rPr>
        <w:t xml:space="preserve">Fitted as standard and improving reliability of the ‘M </w:t>
      </w:r>
      <w:proofErr w:type="gramStart"/>
      <w:r w:rsidRPr="00125CC8">
        <w:rPr>
          <w:lang w:val="en-US"/>
        </w:rPr>
        <w:t>20‘ still</w:t>
      </w:r>
      <w:proofErr w:type="gramEnd"/>
      <w:r w:rsidRPr="00125CC8">
        <w:rPr>
          <w:lang w:val="en-US"/>
        </w:rPr>
        <w:t xml:space="preserve"> further, </w:t>
      </w:r>
      <w:proofErr w:type="spellStart"/>
      <w:r w:rsidRPr="00125CC8">
        <w:rPr>
          <w:lang w:val="en-US"/>
        </w:rPr>
        <w:t>Kaeser’s</w:t>
      </w:r>
      <w:proofErr w:type="spellEnd"/>
      <w:r w:rsidRPr="00125CC8">
        <w:rPr>
          <w:lang w:val="en-US"/>
        </w:rPr>
        <w:t xml:space="preserve"> Anti-Frost Contro</w:t>
      </w:r>
      <w:r>
        <w:rPr>
          <w:lang w:val="en-US"/>
        </w:rPr>
        <w:t>l</w:t>
      </w:r>
      <w:r w:rsidRPr="00125CC8">
        <w:rPr>
          <w:lang w:val="en-US"/>
        </w:rPr>
        <w:t xml:space="preserve"> is particularly useful at times of the year when ambient temperatures are lower, as it protects air tools against freezing and corrosion.</w:t>
      </w:r>
    </w:p>
    <w:p w:rsidR="003247DC" w:rsidRPr="00125CC8" w:rsidRDefault="003247DC" w:rsidP="003247DC">
      <w:pPr>
        <w:spacing w:after="240" w:line="200" w:lineRule="atLeast"/>
        <w:rPr>
          <w:lang w:val="en-US"/>
        </w:rPr>
      </w:pPr>
      <w:r w:rsidRPr="00125CC8">
        <w:rPr>
          <w:lang w:val="en-US"/>
        </w:rPr>
        <w:t xml:space="preserve">Moreover, all metal body components on the ‘M </w:t>
      </w:r>
      <w:proofErr w:type="gramStart"/>
      <w:r w:rsidRPr="00125CC8">
        <w:rPr>
          <w:lang w:val="en-US"/>
        </w:rPr>
        <w:t>20‘ are</w:t>
      </w:r>
      <w:proofErr w:type="gramEnd"/>
      <w:r w:rsidRPr="00125CC8">
        <w:rPr>
          <w:lang w:val="en-US"/>
        </w:rPr>
        <w:t xml:space="preserve"> </w:t>
      </w:r>
      <w:proofErr w:type="spellStart"/>
      <w:r w:rsidRPr="00125CC8">
        <w:rPr>
          <w:lang w:val="en-US"/>
        </w:rPr>
        <w:t>galvanised</w:t>
      </w:r>
      <w:proofErr w:type="spellEnd"/>
      <w:r w:rsidRPr="00125CC8">
        <w:rPr>
          <w:lang w:val="en-US"/>
        </w:rPr>
        <w:t xml:space="preserve"> and / or powder coated to ensure long-term protection from the elements. Operation is made simple via a single control switch and user-friendly icons, whilst excellent component access greatly simplifies servicing and maintenance tasks. The ‘</w:t>
      </w:r>
      <w:proofErr w:type="spellStart"/>
      <w:r w:rsidRPr="00125CC8">
        <w:rPr>
          <w:lang w:val="en-US"/>
        </w:rPr>
        <w:t>Mobilair</w:t>
      </w:r>
      <w:proofErr w:type="spellEnd"/>
      <w:r w:rsidRPr="00125CC8">
        <w:rPr>
          <w:lang w:val="en-US"/>
        </w:rPr>
        <w:t xml:space="preserve"> 20’ portable compressor is therefore built to </w:t>
      </w:r>
      <w:proofErr w:type="spellStart"/>
      <w:r w:rsidRPr="00125CC8">
        <w:rPr>
          <w:lang w:val="en-US"/>
        </w:rPr>
        <w:t>Kaeser’s</w:t>
      </w:r>
      <w:proofErr w:type="spellEnd"/>
      <w:r w:rsidRPr="00125CC8">
        <w:rPr>
          <w:lang w:val="en-US"/>
        </w:rPr>
        <w:t xml:space="preserve"> renowned </w:t>
      </w:r>
      <w:proofErr w:type="gramStart"/>
      <w:r w:rsidRPr="00125CC8">
        <w:rPr>
          <w:lang w:val="en-US"/>
        </w:rPr>
        <w:t>high quality</w:t>
      </w:r>
      <w:proofErr w:type="gramEnd"/>
      <w:r w:rsidRPr="00125CC8">
        <w:rPr>
          <w:lang w:val="en-US"/>
        </w:rPr>
        <w:t xml:space="preserve"> standards and is designed to provide many years of dependable, efficient service.</w:t>
      </w:r>
    </w:p>
    <w:p w:rsidR="003247DC" w:rsidRPr="00125CC8" w:rsidRDefault="003247DC" w:rsidP="003247DC">
      <w:pPr>
        <w:rPr>
          <w:b/>
          <w:lang w:val="en-GB"/>
        </w:rPr>
      </w:pPr>
    </w:p>
    <w:p w:rsidR="003247DC" w:rsidRPr="00125CC8" w:rsidRDefault="003247DC" w:rsidP="003247DC">
      <w:pPr>
        <w:rPr>
          <w:b/>
          <w:lang w:val="en-US"/>
        </w:rPr>
      </w:pPr>
      <w:r w:rsidRPr="00125CC8">
        <w:rPr>
          <w:b/>
          <w:lang w:val="en-US"/>
        </w:rPr>
        <w:t>File: c-m20pe-en</w:t>
      </w:r>
    </w:p>
    <w:p w:rsidR="003247DC" w:rsidRPr="00125CC8" w:rsidRDefault="003247DC" w:rsidP="003247DC">
      <w:pPr>
        <w:rPr>
          <w:lang w:val="en-GB"/>
        </w:rPr>
      </w:pPr>
      <w:r w:rsidRPr="00125CC8">
        <w:rPr>
          <w:lang w:val="en-GB"/>
        </w:rPr>
        <w:t xml:space="preserve">2.332 Keystrokes </w:t>
      </w:r>
      <w:r w:rsidRPr="00125CC8">
        <w:rPr>
          <w:rFonts w:ascii="Symbol" w:hAnsi="Symbol"/>
          <w:lang w:val="en-GB"/>
        </w:rPr>
        <w:t></w:t>
      </w:r>
      <w:r w:rsidRPr="00125CC8">
        <w:rPr>
          <w:lang w:val="en-GB"/>
        </w:rPr>
        <w:t xml:space="preserve"> Free for publication, Copy appreciated</w:t>
      </w:r>
    </w:p>
    <w:p w:rsidR="003247DC" w:rsidRPr="00125CC8" w:rsidRDefault="003247DC" w:rsidP="003247DC">
      <w:pPr>
        <w:pBdr>
          <w:bottom w:val="single" w:sz="4" w:space="1" w:color="auto"/>
        </w:pBdr>
        <w:rPr>
          <w:lang w:val="en-GB"/>
        </w:rPr>
      </w:pPr>
    </w:p>
    <w:p w:rsidR="003247DC" w:rsidRPr="00125CC8" w:rsidRDefault="003247DC" w:rsidP="003247DC">
      <w:pPr>
        <w:tabs>
          <w:tab w:val="left" w:pos="284"/>
        </w:tabs>
        <w:spacing w:line="360" w:lineRule="auto"/>
        <w:rPr>
          <w:lang w:val="en-US"/>
        </w:rPr>
      </w:pPr>
    </w:p>
    <w:p w:rsidR="003247DC" w:rsidRPr="00125CC8" w:rsidRDefault="003247DC" w:rsidP="003247DC">
      <w:pPr>
        <w:tabs>
          <w:tab w:val="left" w:pos="284"/>
        </w:tabs>
        <w:spacing w:line="360" w:lineRule="auto"/>
        <w:rPr>
          <w:lang w:val="en-US"/>
        </w:rPr>
      </w:pPr>
    </w:p>
    <w:p w:rsidR="003247DC" w:rsidRPr="00125CC8" w:rsidRDefault="003247DC" w:rsidP="003247DC">
      <w:pPr>
        <w:spacing w:line="200" w:lineRule="atLeast"/>
        <w:rPr>
          <w:rFonts w:cs="Arial"/>
          <w:color w:val="2D2D2D"/>
          <w:szCs w:val="24"/>
          <w:lang w:val="en-US"/>
        </w:rPr>
      </w:pPr>
      <w:r>
        <w:rPr>
          <w:rFonts w:cs="Arial"/>
          <w:noProof/>
          <w:color w:val="2D2D2D"/>
          <w:szCs w:val="24"/>
        </w:rPr>
        <w:drawing>
          <wp:inline distT="0" distB="0" distL="0" distR="0" wp14:anchorId="214F9CFA" wp14:editId="0645DACC">
            <wp:extent cx="1390650" cy="927151"/>
            <wp:effectExtent l="0" t="0" r="0" b="635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_20_Baustelle_025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465" cy="927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7DC" w:rsidRDefault="003247DC" w:rsidP="003247DC">
      <w:pPr>
        <w:spacing w:line="200" w:lineRule="atLeast"/>
        <w:rPr>
          <w:rFonts w:cs="Arial"/>
          <w:color w:val="2D2D2D"/>
          <w:szCs w:val="24"/>
          <w:lang w:val="en-US"/>
        </w:rPr>
      </w:pPr>
    </w:p>
    <w:p w:rsidR="003247DC" w:rsidRPr="00125CC8" w:rsidRDefault="003247DC" w:rsidP="003247DC">
      <w:pPr>
        <w:spacing w:line="200" w:lineRule="atLeast"/>
        <w:rPr>
          <w:rFonts w:cs="Arial"/>
          <w:color w:val="2D2D2D"/>
          <w:szCs w:val="24"/>
          <w:lang w:val="en-US"/>
        </w:rPr>
      </w:pPr>
      <w:r w:rsidRPr="00125CC8">
        <w:rPr>
          <w:rFonts w:cs="Arial"/>
          <w:color w:val="2D2D2D"/>
          <w:szCs w:val="24"/>
          <w:lang w:val="en-US"/>
        </w:rPr>
        <w:t xml:space="preserve">With more than enough reserve to power a </w:t>
      </w:r>
      <w:proofErr w:type="gramStart"/>
      <w:r w:rsidRPr="00125CC8">
        <w:rPr>
          <w:rFonts w:cs="Arial"/>
          <w:color w:val="2D2D2D"/>
          <w:szCs w:val="24"/>
          <w:lang w:val="en-US"/>
        </w:rPr>
        <w:t>heavy duty</w:t>
      </w:r>
      <w:proofErr w:type="gramEnd"/>
      <w:r w:rsidRPr="00125CC8">
        <w:rPr>
          <w:rFonts w:cs="Arial"/>
          <w:color w:val="2D2D2D"/>
          <w:szCs w:val="24"/>
          <w:lang w:val="en-US"/>
        </w:rPr>
        <w:t xml:space="preserve"> breaker, the versatile and compact ‘</w:t>
      </w:r>
      <w:proofErr w:type="spellStart"/>
      <w:r w:rsidRPr="00125CC8">
        <w:rPr>
          <w:rFonts w:cs="Arial"/>
          <w:color w:val="2D2D2D"/>
          <w:szCs w:val="24"/>
          <w:lang w:val="en-US"/>
        </w:rPr>
        <w:t>Mobilair</w:t>
      </w:r>
      <w:proofErr w:type="spellEnd"/>
      <w:r w:rsidRPr="00125CC8">
        <w:rPr>
          <w:rFonts w:cs="Arial"/>
          <w:color w:val="2D2D2D"/>
          <w:szCs w:val="24"/>
          <w:lang w:val="en-US"/>
        </w:rPr>
        <w:t xml:space="preserve"> 20’ portable compressor from </w:t>
      </w:r>
      <w:proofErr w:type="spellStart"/>
      <w:r w:rsidRPr="00125CC8">
        <w:rPr>
          <w:rFonts w:cs="Arial"/>
          <w:color w:val="2D2D2D"/>
          <w:szCs w:val="24"/>
          <w:lang w:val="en-US"/>
        </w:rPr>
        <w:t>Kaeser</w:t>
      </w:r>
      <w:proofErr w:type="spellEnd"/>
      <w:r w:rsidRPr="00125CC8">
        <w:rPr>
          <w:rFonts w:cs="Arial"/>
          <w:color w:val="2D2D2D"/>
          <w:szCs w:val="24"/>
          <w:lang w:val="en-US"/>
        </w:rPr>
        <w:t xml:space="preserve"> features a durable PE enclosure and delivers exceptional performance and efficiency. </w:t>
      </w:r>
    </w:p>
    <w:p w:rsidR="008D7EF0" w:rsidRPr="003247DC" w:rsidRDefault="008D7EF0" w:rsidP="003247DC">
      <w:pPr>
        <w:rPr>
          <w:lang w:val="en-US"/>
        </w:rPr>
      </w:pPr>
      <w:bookmarkStart w:id="0" w:name="_GoBack"/>
      <w:bookmarkEnd w:id="0"/>
    </w:p>
    <w:sectPr w:rsidR="008D7EF0" w:rsidRPr="003247DC" w:rsidSect="00A76EF6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134" w:right="1418" w:bottom="1134" w:left="1418" w:header="709" w:footer="164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B3198" w:rsidRDefault="004B3198" w:rsidP="004B3198">
      <w:r>
        <w:separator/>
      </w:r>
    </w:p>
  </w:endnote>
  <w:endnote w:type="continuationSeparator" w:id="0">
    <w:p w:rsidR="004B3198" w:rsidRDefault="004B3198" w:rsidP="004B31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1C5E" w:rsidRDefault="002E1C5E" w:rsidP="004818CE">
    <w:pPr>
      <w:pStyle w:val="Fuzeile"/>
      <w:tabs>
        <w:tab w:val="clear" w:pos="9072"/>
        <w:tab w:val="left" w:pos="7416"/>
      </w:tabs>
    </w:pPr>
  </w:p>
  <w:p w:rsidR="004B3198" w:rsidRDefault="004818CE" w:rsidP="004818CE">
    <w:pPr>
      <w:pStyle w:val="Fuzeile"/>
      <w:tabs>
        <w:tab w:val="clear" w:pos="9072"/>
        <w:tab w:val="left" w:pos="7416"/>
      </w:tabs>
    </w:pPr>
    <w:r>
      <w:tab/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1C89" w:rsidRDefault="002B1C89">
    <w:pPr>
      <w:pStyle w:val="Fuzeile"/>
    </w:pPr>
  </w:p>
  <w:p w:rsidR="002B1C89" w:rsidRDefault="002B1C8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B3198" w:rsidRDefault="004B3198" w:rsidP="004B3198">
      <w:r>
        <w:separator/>
      </w:r>
    </w:p>
  </w:footnote>
  <w:footnote w:type="continuationSeparator" w:id="0">
    <w:p w:rsidR="004B3198" w:rsidRDefault="004B3198" w:rsidP="004B31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3198" w:rsidRDefault="003247DC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9821063" o:spid="_x0000_s2062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Vorlage_Brief_Pressestelle_Englisch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8381352"/>
      <w:docPartObj>
        <w:docPartGallery w:val="Page Numbers (Top of Page)"/>
        <w:docPartUnique/>
      </w:docPartObj>
    </w:sdtPr>
    <w:sdtEndPr/>
    <w:sdtContent>
      <w:p w:rsidR="004818CE" w:rsidRDefault="003247DC" w:rsidP="004818CE">
        <w:pPr>
          <w:pStyle w:val="Kopfzeile"/>
          <w:spacing w:after="40"/>
        </w:pPr>
        <w:r>
          <w:rPr>
            <w:noProof/>
          </w:rPr>
          <w:drawing>
            <wp:anchor distT="0" distB="0" distL="114300" distR="114300" simplePos="0" relativeHeight="251662336" behindDoc="1" locked="0" layoutInCell="0" allowOverlap="1">
              <wp:simplePos x="0" y="0"/>
              <wp:positionH relativeFrom="margin">
                <wp:posOffset>-899160</wp:posOffset>
              </wp:positionH>
              <wp:positionV relativeFrom="margin">
                <wp:posOffset>-1867535</wp:posOffset>
              </wp:positionV>
              <wp:extent cx="7559675" cy="10693400"/>
              <wp:effectExtent l="0" t="0" r="3175" b="0"/>
              <wp:wrapNone/>
              <wp:docPr id="1" name="Grafik 1" descr="Vorlage_Brief_Pressestelle_Englisch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" descr="Vorlage_Brief_Pressestelle_Englisch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559675" cy="106934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:rsidR="004818CE" w:rsidRDefault="004818CE">
        <w:pPr>
          <w:pStyle w:val="Kopfzeile"/>
          <w:rPr>
            <w:rFonts w:ascii="Arial" w:hAnsi="Arial" w:cs="Arial"/>
            <w:b/>
            <w:bCs/>
            <w:sz w:val="24"/>
            <w:szCs w:val="24"/>
          </w:rPr>
        </w:pPr>
      </w:p>
      <w:p w:rsidR="004818CE" w:rsidRDefault="004818CE">
        <w:pPr>
          <w:pStyle w:val="Kopfzeile"/>
          <w:rPr>
            <w:rFonts w:ascii="Arial" w:hAnsi="Arial" w:cs="Arial"/>
            <w:b/>
            <w:bCs/>
            <w:sz w:val="24"/>
            <w:szCs w:val="24"/>
          </w:rPr>
        </w:pPr>
      </w:p>
      <w:p w:rsidR="004818CE" w:rsidRDefault="004818CE">
        <w:pPr>
          <w:pStyle w:val="Kopfzeile"/>
          <w:rPr>
            <w:rFonts w:ascii="Arial" w:hAnsi="Arial" w:cs="Arial"/>
            <w:b/>
            <w:bCs/>
            <w:sz w:val="24"/>
            <w:szCs w:val="24"/>
          </w:rPr>
        </w:pPr>
      </w:p>
      <w:p w:rsidR="004818CE" w:rsidRPr="00446BB7" w:rsidRDefault="004818CE" w:rsidP="00A839F0">
        <w:pPr>
          <w:pStyle w:val="Kopfzeile"/>
          <w:tabs>
            <w:tab w:val="clear" w:pos="9072"/>
            <w:tab w:val="left" w:pos="7088"/>
          </w:tabs>
          <w:rPr>
            <w:rFonts w:ascii="Arial" w:hAnsi="Arial" w:cs="Arial"/>
            <w:bCs/>
            <w:sz w:val="24"/>
            <w:szCs w:val="24"/>
          </w:rPr>
        </w:pPr>
        <w:r>
          <w:rPr>
            <w:rFonts w:ascii="Arial" w:hAnsi="Arial" w:cs="Arial"/>
            <w:b/>
            <w:bCs/>
            <w:sz w:val="24"/>
            <w:szCs w:val="24"/>
          </w:rPr>
          <w:t xml:space="preserve">   </w:t>
        </w:r>
        <w:r w:rsidR="00A839F0">
          <w:rPr>
            <w:rFonts w:ascii="Arial" w:hAnsi="Arial" w:cs="Arial"/>
            <w:b/>
            <w:bCs/>
            <w:sz w:val="24"/>
            <w:szCs w:val="24"/>
          </w:rPr>
          <w:tab/>
        </w:r>
        <w:r w:rsidR="00A839F0">
          <w:rPr>
            <w:rFonts w:ascii="Arial" w:hAnsi="Arial" w:cs="Arial"/>
            <w:b/>
            <w:bCs/>
            <w:sz w:val="24"/>
            <w:szCs w:val="24"/>
          </w:rPr>
          <w:tab/>
        </w:r>
        <w:r w:rsidRPr="00446BB7">
          <w:rPr>
            <w:rFonts w:ascii="Arial" w:hAnsi="Arial" w:cs="Arial"/>
            <w:bCs/>
            <w:sz w:val="24"/>
            <w:szCs w:val="24"/>
          </w:rPr>
          <w:fldChar w:fldCharType="begin"/>
        </w:r>
        <w:r w:rsidRPr="00446BB7">
          <w:rPr>
            <w:rFonts w:ascii="Arial" w:hAnsi="Arial" w:cs="Arial"/>
            <w:bCs/>
            <w:sz w:val="24"/>
            <w:szCs w:val="24"/>
          </w:rPr>
          <w:instrText>PAGE</w:instrText>
        </w:r>
        <w:r w:rsidRPr="00446BB7">
          <w:rPr>
            <w:rFonts w:ascii="Arial" w:hAnsi="Arial" w:cs="Arial"/>
            <w:bCs/>
            <w:sz w:val="24"/>
            <w:szCs w:val="24"/>
          </w:rPr>
          <w:fldChar w:fldCharType="separate"/>
        </w:r>
        <w:r w:rsidRPr="00446BB7">
          <w:rPr>
            <w:rFonts w:ascii="Arial" w:hAnsi="Arial" w:cs="Arial"/>
            <w:bCs/>
            <w:sz w:val="24"/>
            <w:szCs w:val="24"/>
          </w:rPr>
          <w:t>2</w:t>
        </w:r>
        <w:r w:rsidRPr="00446BB7">
          <w:rPr>
            <w:rFonts w:ascii="Arial" w:hAnsi="Arial" w:cs="Arial"/>
            <w:bCs/>
            <w:sz w:val="24"/>
            <w:szCs w:val="24"/>
          </w:rPr>
          <w:fldChar w:fldCharType="end"/>
        </w:r>
        <w:r w:rsidRPr="00446BB7">
          <w:rPr>
            <w:rFonts w:ascii="Arial" w:hAnsi="Arial" w:cs="Arial"/>
            <w:bCs/>
            <w:sz w:val="24"/>
            <w:szCs w:val="24"/>
          </w:rPr>
          <w:t>/</w:t>
        </w:r>
        <w:r w:rsidRPr="00446BB7">
          <w:rPr>
            <w:rFonts w:ascii="Arial" w:hAnsi="Arial" w:cs="Arial"/>
            <w:bCs/>
            <w:sz w:val="24"/>
            <w:szCs w:val="24"/>
          </w:rPr>
          <w:fldChar w:fldCharType="begin"/>
        </w:r>
        <w:r w:rsidRPr="00446BB7">
          <w:rPr>
            <w:rFonts w:ascii="Arial" w:hAnsi="Arial" w:cs="Arial"/>
            <w:bCs/>
            <w:sz w:val="24"/>
            <w:szCs w:val="24"/>
          </w:rPr>
          <w:instrText>NUMPAGES</w:instrText>
        </w:r>
        <w:r w:rsidRPr="00446BB7">
          <w:rPr>
            <w:rFonts w:ascii="Arial" w:hAnsi="Arial" w:cs="Arial"/>
            <w:bCs/>
            <w:sz w:val="24"/>
            <w:szCs w:val="24"/>
          </w:rPr>
          <w:fldChar w:fldCharType="separate"/>
        </w:r>
        <w:r w:rsidRPr="00446BB7">
          <w:rPr>
            <w:rFonts w:ascii="Arial" w:hAnsi="Arial" w:cs="Arial"/>
            <w:bCs/>
            <w:sz w:val="24"/>
            <w:szCs w:val="24"/>
          </w:rPr>
          <w:t>2</w:t>
        </w:r>
        <w:r w:rsidRPr="00446BB7">
          <w:rPr>
            <w:rFonts w:ascii="Arial" w:hAnsi="Arial" w:cs="Arial"/>
            <w:bCs/>
            <w:sz w:val="24"/>
            <w:szCs w:val="24"/>
          </w:rPr>
          <w:fldChar w:fldCharType="end"/>
        </w:r>
      </w:p>
      <w:p w:rsidR="004818CE" w:rsidRDefault="004818CE" w:rsidP="004818CE">
        <w:pPr>
          <w:pStyle w:val="Kopfzeile"/>
          <w:ind w:left="2544" w:firstLine="4536"/>
        </w:pPr>
      </w:p>
      <w:p w:rsidR="004818CE" w:rsidRDefault="003247DC" w:rsidP="004818CE">
        <w:pPr>
          <w:pStyle w:val="Kopfzeile"/>
          <w:ind w:left="2544" w:firstLine="4536"/>
        </w:pPr>
      </w:p>
    </w:sdtContent>
  </w:sdt>
  <w:p w:rsidR="004B3198" w:rsidRDefault="004B3198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6EF6" w:rsidRDefault="003247DC" w:rsidP="00A76EF6">
    <w:pPr>
      <w:pStyle w:val="Kopfzeile"/>
      <w:spacing w:after="40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0418736" o:spid="_x0000_s2064" type="#_x0000_t75" style="position:absolute;margin-left:-71pt;margin-top:-144.55pt;width:595.25pt;height:842pt;z-index:-251655168;mso-position-horizontal-relative:margin;mso-position-vertical-relative:margin" o:allowincell="f">
          <v:imagedata r:id="rId1" o:title="Vorlage_Brief_Pressestelle_Englisch"/>
          <w10:wrap anchorx="margin" anchory="margin"/>
        </v:shape>
      </w:pict>
    </w:r>
  </w:p>
  <w:p w:rsidR="00A76EF6" w:rsidRDefault="00A76EF6">
    <w:pPr>
      <w:pStyle w:val="Kopfzeile"/>
    </w:pPr>
  </w:p>
  <w:p w:rsidR="00A76EF6" w:rsidRDefault="00A76EF6">
    <w:pPr>
      <w:pStyle w:val="Kopfzeile"/>
    </w:pPr>
  </w:p>
  <w:p w:rsidR="00A76EF6" w:rsidRDefault="00A76EF6">
    <w:pPr>
      <w:pStyle w:val="Kopfzeile"/>
    </w:pPr>
  </w:p>
  <w:p w:rsidR="00A76EF6" w:rsidRDefault="00A76EF6">
    <w:pPr>
      <w:pStyle w:val="Kopfzeile"/>
    </w:pPr>
  </w:p>
  <w:p w:rsidR="00A76EF6" w:rsidRDefault="00A76EF6">
    <w:pPr>
      <w:pStyle w:val="Kopfzeile"/>
    </w:pPr>
  </w:p>
  <w:p w:rsidR="00A76EF6" w:rsidRDefault="00A76EF6">
    <w:pPr>
      <w:pStyle w:val="Kopfzeile"/>
    </w:pPr>
  </w:p>
  <w:p w:rsidR="004B3198" w:rsidRDefault="004B3198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198"/>
    <w:rsid w:val="000B1EF6"/>
    <w:rsid w:val="000C368F"/>
    <w:rsid w:val="001469AE"/>
    <w:rsid w:val="00170880"/>
    <w:rsid w:val="002B1C89"/>
    <w:rsid w:val="002E1C5E"/>
    <w:rsid w:val="003247DC"/>
    <w:rsid w:val="00446BB7"/>
    <w:rsid w:val="004818CE"/>
    <w:rsid w:val="004B3198"/>
    <w:rsid w:val="00660BC9"/>
    <w:rsid w:val="006C6CE5"/>
    <w:rsid w:val="00736E8C"/>
    <w:rsid w:val="008D7EF0"/>
    <w:rsid w:val="00A76EF6"/>
    <w:rsid w:val="00A839F0"/>
    <w:rsid w:val="00AA1AB5"/>
    <w:rsid w:val="00B57AC7"/>
    <w:rsid w:val="00C9170C"/>
    <w:rsid w:val="00CA1C81"/>
    <w:rsid w:val="00D73389"/>
    <w:rsid w:val="00EA1547"/>
    <w:rsid w:val="00EC1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  <w15:chartTrackingRefBased/>
  <w15:docId w15:val="{F699C70D-3AFE-4DEC-93AE-455B27890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3247DC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B3198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4B3198"/>
  </w:style>
  <w:style w:type="paragraph" w:styleId="Fuzeile">
    <w:name w:val="footer"/>
    <w:basedOn w:val="Standard"/>
    <w:link w:val="FuzeileZchn"/>
    <w:uiPriority w:val="99"/>
    <w:unhideWhenUsed/>
    <w:rsid w:val="004B3198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4B31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D4ECC8-A4F5-44FC-8261-ABA69880D7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359</Words>
  <Characters>2267</Characters>
  <Application>Microsoft Office Word</Application>
  <DocSecurity>4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KAESER</Company>
  <LinksUpToDate>false</LinksUpToDate>
  <CharactersWithSpaces>2621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Mueller, Michael</dc:creator>
  <cp:keywords/>
  <dc:description/>
  <cp:lastModifiedBy>Sachs, Elke</cp:lastModifiedBy>
  <cp:revision>2</cp:revision>
  <dcterms:created xsi:type="dcterms:W3CDTF">2022-06-10T08:04:00Z</dcterms:created>
  <dcterms:modified xsi:type="dcterms:W3CDTF">2022-06-10T08:04:00Z</dcterms:modified>
</cp:coreProperties>
</file>